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2078C2">
        <w:rPr>
          <w:rFonts w:eastAsia="宋体" w:cs="Arial"/>
          <w:sz w:val="24"/>
          <w:szCs w:val="24"/>
          <w:lang w:val="en-US" w:eastAsia="zh-CN"/>
        </w:rPr>
        <w:t>4</w:t>
      </w:r>
      <w:r w:rsidR="00D810F8">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sidR="005C7E9F">
        <w:rPr>
          <w:rFonts w:eastAsia="宋体" w:cs="Arial"/>
          <w:sz w:val="24"/>
          <w:szCs w:val="24"/>
          <w:lang w:val="en-US" w:eastAsia="zh-CN"/>
        </w:rPr>
        <w:t xml:space="preserv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5C7E9F">
        <w:rPr>
          <w:rFonts w:cs="Arial" w:hint="eastAsia"/>
          <w:sz w:val="24"/>
          <w:szCs w:val="24"/>
        </w:rPr>
        <w:t>13599</w:t>
      </w:r>
    </w:p>
    <w:p w:rsidR="00CC5BBF" w:rsidRDefault="00351C2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2078C2">
        <w:rPr>
          <w:rFonts w:eastAsia="宋体"/>
          <w:sz w:val="24"/>
          <w:szCs w:val="24"/>
          <w:lang w:eastAsia="zh-CN"/>
        </w:rPr>
        <w:t>August 15</w:t>
      </w:r>
      <w:r w:rsidR="00E67A80">
        <w:rPr>
          <w:rFonts w:eastAsia="宋体"/>
          <w:sz w:val="24"/>
          <w:szCs w:val="24"/>
          <w:lang w:eastAsia="zh-CN"/>
        </w:rPr>
        <w:t xml:space="preserve"> – </w:t>
      </w:r>
      <w:r w:rsidR="002078C2">
        <w:rPr>
          <w:rFonts w:eastAsia="宋体"/>
          <w:sz w:val="24"/>
          <w:szCs w:val="24"/>
          <w:lang w:eastAsia="zh-CN"/>
        </w:rPr>
        <w:t>August</w:t>
      </w:r>
      <w:r w:rsidR="00E67A80">
        <w:rPr>
          <w:rFonts w:eastAsia="宋体"/>
          <w:sz w:val="24"/>
          <w:szCs w:val="24"/>
          <w:lang w:eastAsia="zh-CN"/>
        </w:rPr>
        <w:t xml:space="preserve"> </w:t>
      </w:r>
      <w:r w:rsidR="002078C2">
        <w:rPr>
          <w:rFonts w:eastAsia="宋体"/>
          <w:sz w:val="24"/>
          <w:szCs w:val="24"/>
          <w:lang w:val="en-US" w:eastAsia="zh-CN"/>
        </w:rPr>
        <w:t>26</w:t>
      </w:r>
      <w:r>
        <w:rPr>
          <w:rFonts w:eastAsia="宋体"/>
          <w:sz w:val="24"/>
          <w:szCs w:val="24"/>
          <w:lang w:eastAsia="zh-CN"/>
        </w:rPr>
        <w:t>, 202</w:t>
      </w:r>
      <w:r w:rsidR="00D810F8">
        <w:rPr>
          <w:rFonts w:eastAsia="宋体"/>
          <w:sz w:val="24"/>
          <w:szCs w:val="24"/>
          <w:lang w:eastAsia="zh-CN"/>
        </w:rPr>
        <w:t>2</w:t>
      </w:r>
    </w:p>
    <w:p w:rsidR="00CC5BBF" w:rsidRDefault="00CC5BBF">
      <w:pPr>
        <w:pStyle w:val="af7"/>
        <w:keepNext/>
        <w:keepLines/>
        <w:tabs>
          <w:tab w:val="right" w:pos="10440"/>
          <w:tab w:val="right" w:pos="13323"/>
        </w:tabs>
        <w:spacing w:after="0"/>
        <w:rPr>
          <w:rFonts w:cs="Arial"/>
          <w:szCs w:val="18"/>
          <w:lang w:val="en-US" w:eastAsia="zh-CN"/>
        </w:rPr>
      </w:pPr>
    </w:p>
    <w:p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7"/>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2078C2" w:rsidRPr="002078C2">
        <w:rPr>
          <w:b w:val="0"/>
          <w:bCs/>
          <w:sz w:val="20"/>
          <w:lang w:val="en-US" w:eastAsia="zh-CN"/>
        </w:rPr>
        <w:t>Simplification on multiple UL CA configurations in CA configuration table</w:t>
      </w:r>
    </w:p>
    <w:p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438AB">
        <w:rPr>
          <w:rFonts w:cs="Arial"/>
          <w:b w:val="0"/>
          <w:bCs/>
          <w:sz w:val="20"/>
          <w:lang w:eastAsia="zh-CN"/>
        </w:rPr>
        <w:t>11</w:t>
      </w:r>
      <w:r w:rsidR="006852CE" w:rsidRPr="006852CE">
        <w:rPr>
          <w:rFonts w:cs="Arial" w:hint="eastAsia"/>
          <w:b w:val="0"/>
          <w:bCs/>
          <w:sz w:val="20"/>
          <w:lang w:val="en-US" w:eastAsia="zh-CN"/>
        </w:rPr>
        <w:t>.</w:t>
      </w:r>
      <w:r w:rsidR="00D438AB">
        <w:rPr>
          <w:rFonts w:cs="Arial"/>
          <w:b w:val="0"/>
          <w:bCs/>
          <w:sz w:val="20"/>
          <w:lang w:val="en-US" w:eastAsia="zh-CN"/>
        </w:rPr>
        <w:t>3</w:t>
      </w:r>
      <w:r w:rsidR="006852CE" w:rsidRPr="006852CE">
        <w:rPr>
          <w:rFonts w:cs="Arial" w:hint="eastAsia"/>
          <w:b w:val="0"/>
          <w:bCs/>
          <w:sz w:val="20"/>
          <w:lang w:val="en-US" w:eastAsia="zh-CN"/>
        </w:rPr>
        <w:t>.</w:t>
      </w:r>
      <w:r w:rsidR="00D438AB">
        <w:rPr>
          <w:rFonts w:cs="Arial"/>
          <w:b w:val="0"/>
          <w:bCs/>
          <w:sz w:val="20"/>
          <w:lang w:val="en-US" w:eastAsia="zh-CN"/>
        </w:rPr>
        <w:t>3</w:t>
      </w:r>
    </w:p>
    <w:p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8E22C2" w:rsidRDefault="008E22C2">
      <w:pPr>
        <w:pStyle w:val="af7"/>
        <w:keepNext/>
        <w:keepLines/>
        <w:tabs>
          <w:tab w:val="left" w:pos="2160"/>
        </w:tabs>
        <w:spacing w:before="180" w:after="120"/>
        <w:ind w:left="2610" w:hanging="2610"/>
        <w:jc w:val="both"/>
        <w:rPr>
          <w:rFonts w:eastAsia="宋体" w:cs="Arial"/>
          <w:sz w:val="20"/>
          <w:lang w:eastAsia="zh-CN"/>
        </w:rPr>
      </w:pPr>
    </w:p>
    <w:p w:rsidR="00CC5BBF" w:rsidRDefault="00351C2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2657AD" w:rsidRDefault="00351C2A" w:rsidP="001C7E88">
      <w:pPr>
        <w:rPr>
          <w:rFonts w:eastAsia="宋体"/>
          <w:sz w:val="20"/>
          <w:lang w:eastAsia="zh-CN"/>
        </w:rPr>
      </w:pPr>
      <w:r w:rsidRPr="006852CE">
        <w:rPr>
          <w:rFonts w:eastAsia="宋体" w:hint="eastAsia"/>
          <w:sz w:val="20"/>
          <w:lang w:eastAsia="zh-CN"/>
        </w:rPr>
        <w:t xml:space="preserve">In </w:t>
      </w:r>
      <w:r w:rsidR="002657AD">
        <w:rPr>
          <w:rFonts w:eastAsia="宋体" w:hint="eastAsia"/>
          <w:sz w:val="20"/>
          <w:lang w:eastAsia="zh-CN"/>
        </w:rPr>
        <w:t>the</w:t>
      </w:r>
      <w:r w:rsidR="002657AD">
        <w:rPr>
          <w:rFonts w:eastAsia="宋体"/>
          <w:sz w:val="20"/>
          <w:lang w:eastAsia="zh-CN"/>
        </w:rPr>
        <w:t xml:space="preserve"> configuration tables of EN-DC in TS 38.101-3, for the sake of brevity and to reduce the size of DC configuration tables, the downlink configurations are grouped for the configurations </w:t>
      </w:r>
      <w:r w:rsidR="005F6B11">
        <w:rPr>
          <w:rFonts w:eastAsia="宋体"/>
          <w:sz w:val="20"/>
          <w:lang w:eastAsia="zh-CN"/>
        </w:rPr>
        <w:t>having</w:t>
      </w:r>
      <w:r w:rsidR="002657AD">
        <w:rPr>
          <w:rFonts w:eastAsia="宋体"/>
          <w:sz w:val="20"/>
          <w:lang w:eastAsia="zh-CN"/>
        </w:rPr>
        <w:t xml:space="preserve"> the same component frequency bands. </w:t>
      </w:r>
      <w:r w:rsidR="005F6B11">
        <w:rPr>
          <w:rFonts w:eastAsia="宋体"/>
          <w:sz w:val="20"/>
          <w:lang w:eastAsia="zh-CN"/>
        </w:rPr>
        <w:t>Regarding to the UL DC configurations, i</w:t>
      </w:r>
      <w:r w:rsidR="002657AD" w:rsidRPr="002657AD">
        <w:rPr>
          <w:rFonts w:eastAsia="宋体"/>
          <w:sz w:val="20"/>
          <w:lang w:eastAsia="zh-CN"/>
        </w:rPr>
        <w:t xml:space="preserve">f multiple UL DC configurations are listed for multiple </w:t>
      </w:r>
      <w:bookmarkStart w:id="3" w:name="_GoBack"/>
      <w:bookmarkEnd w:id="3"/>
      <w:r w:rsidR="002657AD" w:rsidRPr="002657AD">
        <w:rPr>
          <w:rFonts w:eastAsia="宋体"/>
          <w:sz w:val="20"/>
          <w:lang w:eastAsia="zh-CN"/>
        </w:rPr>
        <w:t>DL DC configurations, valid uplink configurations are such that uplink does not have more carriers than downlink.</w:t>
      </w:r>
      <w:r w:rsidR="005F6B11">
        <w:rPr>
          <w:rFonts w:eastAsia="宋体"/>
          <w:sz w:val="20"/>
          <w:lang w:eastAsia="zh-CN"/>
        </w:rPr>
        <w:t xml:space="preserve"> For example, </w:t>
      </w:r>
      <w:r w:rsidR="005F6B11" w:rsidRPr="005F6B11">
        <w:rPr>
          <w:rFonts w:eastAsia="宋体"/>
          <w:sz w:val="20"/>
          <w:lang w:eastAsia="zh-CN"/>
        </w:rPr>
        <w:t>for the configuration DC_1A_n257J, the UL DC configurations can be in the list of DC_1A_n257A, DC_1</w:t>
      </w:r>
      <w:r w:rsidR="005F6B11" w:rsidRPr="005F6B11">
        <w:rPr>
          <w:rFonts w:eastAsia="宋体" w:hint="eastAsia"/>
          <w:sz w:val="20"/>
          <w:lang w:eastAsia="zh-CN"/>
        </w:rPr>
        <w:t>A</w:t>
      </w:r>
      <w:r w:rsidR="005F6B11" w:rsidRPr="005F6B11">
        <w:rPr>
          <w:rFonts w:eastAsia="宋体"/>
          <w:sz w:val="20"/>
          <w:lang w:eastAsia="zh-CN"/>
        </w:rPr>
        <w:t>_n257G, DC_1</w:t>
      </w:r>
      <w:r w:rsidR="005F6B11" w:rsidRPr="005F6B11">
        <w:rPr>
          <w:rFonts w:eastAsia="宋体" w:hint="eastAsia"/>
          <w:sz w:val="20"/>
          <w:lang w:eastAsia="zh-CN"/>
        </w:rPr>
        <w:t>A</w:t>
      </w:r>
      <w:r w:rsidR="005F6B11" w:rsidRPr="005F6B11">
        <w:rPr>
          <w:rFonts w:eastAsia="宋体"/>
          <w:sz w:val="20"/>
          <w:lang w:eastAsia="zh-CN"/>
        </w:rPr>
        <w:t>_n257H, DC_1</w:t>
      </w:r>
      <w:r w:rsidR="005F6B11" w:rsidRPr="005F6B11">
        <w:rPr>
          <w:rFonts w:eastAsia="宋体" w:hint="eastAsia"/>
          <w:sz w:val="20"/>
          <w:lang w:eastAsia="zh-CN"/>
        </w:rPr>
        <w:t>A</w:t>
      </w:r>
      <w:r w:rsidR="005F6B11" w:rsidRPr="005F6B11">
        <w:rPr>
          <w:rFonts w:eastAsia="宋体"/>
          <w:sz w:val="20"/>
          <w:lang w:eastAsia="zh-CN"/>
        </w:rPr>
        <w:t>_n257I and DC_1A_n257J, while DC_1</w:t>
      </w:r>
      <w:r w:rsidR="005F6B11" w:rsidRPr="005F6B11">
        <w:rPr>
          <w:rFonts w:eastAsia="宋体" w:hint="eastAsia"/>
          <w:sz w:val="20"/>
          <w:lang w:eastAsia="zh-CN"/>
        </w:rPr>
        <w:t>A</w:t>
      </w:r>
      <w:r w:rsidR="005F6B11" w:rsidRPr="005F6B11">
        <w:rPr>
          <w:rFonts w:eastAsia="宋体"/>
          <w:sz w:val="20"/>
          <w:lang w:eastAsia="zh-CN"/>
        </w:rPr>
        <w:t>_n257K, DC_1</w:t>
      </w:r>
      <w:r w:rsidR="005F6B11" w:rsidRPr="005F6B11">
        <w:rPr>
          <w:rFonts w:eastAsia="宋体" w:hint="eastAsia"/>
          <w:sz w:val="20"/>
          <w:lang w:eastAsia="zh-CN"/>
        </w:rPr>
        <w:t>A</w:t>
      </w:r>
      <w:r w:rsidR="005F6B11" w:rsidRPr="005F6B11">
        <w:rPr>
          <w:rFonts w:eastAsia="宋体"/>
          <w:sz w:val="20"/>
          <w:lang w:eastAsia="zh-CN"/>
        </w:rPr>
        <w:t>_n257L and DC_1</w:t>
      </w:r>
      <w:r w:rsidR="005F6B11" w:rsidRPr="005F6B11">
        <w:rPr>
          <w:rFonts w:eastAsia="宋体" w:hint="eastAsia"/>
          <w:sz w:val="20"/>
          <w:lang w:eastAsia="zh-CN"/>
        </w:rPr>
        <w:t>A</w:t>
      </w:r>
      <w:r w:rsidR="005F6B11" w:rsidRPr="005F6B11">
        <w:rPr>
          <w:rFonts w:eastAsia="宋体"/>
          <w:sz w:val="20"/>
          <w:lang w:eastAsia="zh-CN"/>
        </w:rPr>
        <w:t>_n257M are the invalid uplink configurations for this case.</w:t>
      </w:r>
    </w:p>
    <w:p w:rsidR="005F6B11" w:rsidRPr="005F6B11" w:rsidRDefault="005F6B11" w:rsidP="005F6B11">
      <w:pPr>
        <w:rPr>
          <w:i/>
          <w:sz w:val="20"/>
          <w:u w:val="single"/>
          <w:lang w:eastAsia="zh-CN"/>
        </w:rPr>
      </w:pPr>
      <w:r w:rsidRPr="005F6B11">
        <w:rPr>
          <w:i/>
          <w:sz w:val="20"/>
          <w:u w:val="single"/>
          <w:lang w:eastAsia="zh-CN"/>
        </w:rPr>
        <w:t>Example</w:t>
      </w:r>
      <w:r w:rsidR="00C142E9">
        <w:rPr>
          <w:i/>
          <w:sz w:val="20"/>
          <w:u w:val="single"/>
          <w:lang w:eastAsia="zh-CN"/>
        </w:rPr>
        <w:t xml:space="preserve"> 1 (EN-DC configuration)</w:t>
      </w:r>
      <w:r w:rsidRPr="005F6B11">
        <w:rPr>
          <w:i/>
          <w:sz w:val="20"/>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F6B11" w:rsidRPr="005F6B11" w:rsidDel="00C35823" w:rsidTr="00BE75B4">
        <w:trPr>
          <w:trHeight w:val="187"/>
          <w:jc w:val="center"/>
        </w:trPr>
        <w:tc>
          <w:tcPr>
            <w:tcW w:w="2972" w:type="dxa"/>
            <w:shd w:val="clear" w:color="auto" w:fill="auto"/>
            <w:hideMark/>
          </w:tcPr>
          <w:p w:rsidR="005F6B11" w:rsidRPr="005F6B11" w:rsidRDefault="005F6B11" w:rsidP="00BE75B4">
            <w:pPr>
              <w:pStyle w:val="TAH"/>
              <w:ind w:firstLine="440"/>
              <w:rPr>
                <w:color w:val="auto"/>
                <w:sz w:val="20"/>
                <w:lang w:eastAsia="fi-FI"/>
              </w:rPr>
            </w:pPr>
            <w:r w:rsidRPr="005F6B11">
              <w:rPr>
                <w:color w:val="auto"/>
                <w:sz w:val="20"/>
                <w:lang w:eastAsia="fi-FI"/>
              </w:rPr>
              <w:t>EN-DC</w:t>
            </w:r>
          </w:p>
          <w:p w:rsidR="005F6B11" w:rsidRPr="005F6B11" w:rsidRDefault="005F6B11" w:rsidP="00BE75B4">
            <w:pPr>
              <w:pStyle w:val="TAH"/>
              <w:ind w:firstLine="440"/>
              <w:rPr>
                <w:color w:val="auto"/>
                <w:sz w:val="20"/>
                <w:lang w:eastAsia="fi-FI"/>
              </w:rPr>
            </w:pPr>
            <w:r w:rsidRPr="005F6B11">
              <w:rPr>
                <w:color w:val="auto"/>
                <w:sz w:val="20"/>
                <w:lang w:eastAsia="fi-FI"/>
              </w:rPr>
              <w:t>configuration</w:t>
            </w:r>
          </w:p>
        </w:tc>
        <w:tc>
          <w:tcPr>
            <w:tcW w:w="2846" w:type="dxa"/>
          </w:tcPr>
          <w:p w:rsidR="005F6B11" w:rsidRPr="005F6B11" w:rsidRDefault="005F6B11" w:rsidP="00BE75B4">
            <w:pPr>
              <w:pStyle w:val="TAH"/>
              <w:ind w:firstLine="440"/>
              <w:rPr>
                <w:color w:val="auto"/>
                <w:sz w:val="20"/>
                <w:lang w:val="fr-FR" w:eastAsia="fi-FI"/>
              </w:rPr>
            </w:pPr>
            <w:r w:rsidRPr="005F6B11">
              <w:rPr>
                <w:color w:val="auto"/>
                <w:sz w:val="20"/>
                <w:lang w:val="fr-FR" w:eastAsia="fi-FI"/>
              </w:rPr>
              <w:t>Uplink EN-DC</w:t>
            </w:r>
          </w:p>
          <w:p w:rsidR="005F6B11" w:rsidRPr="005F6B11" w:rsidRDefault="005F6B11" w:rsidP="00BE75B4">
            <w:pPr>
              <w:pStyle w:val="TAH"/>
              <w:ind w:firstLine="440"/>
              <w:rPr>
                <w:color w:val="auto"/>
                <w:sz w:val="20"/>
                <w:lang w:val="fr-FR" w:eastAsia="fi-FI"/>
              </w:rPr>
            </w:pPr>
            <w:r w:rsidRPr="005F6B11">
              <w:rPr>
                <w:color w:val="auto"/>
                <w:sz w:val="20"/>
                <w:lang w:val="fr-FR" w:eastAsia="fi-FI"/>
              </w:rPr>
              <w:t>configuration</w:t>
            </w:r>
          </w:p>
          <w:p w:rsidR="005F6B11" w:rsidRPr="005F6B11" w:rsidDel="00C35823" w:rsidRDefault="005F6B11" w:rsidP="00BE75B4">
            <w:pPr>
              <w:pStyle w:val="TAH"/>
              <w:ind w:firstLine="440"/>
              <w:rPr>
                <w:color w:val="auto"/>
                <w:sz w:val="20"/>
                <w:lang w:val="fr-FR" w:eastAsia="fi-FI"/>
              </w:rPr>
            </w:pPr>
            <w:r w:rsidRPr="005F6B11">
              <w:rPr>
                <w:color w:val="auto"/>
                <w:sz w:val="20"/>
                <w:lang w:val="fr-FR" w:eastAsia="fi-FI"/>
              </w:rPr>
              <w:t>(NOTE 1)</w:t>
            </w:r>
          </w:p>
        </w:tc>
      </w:tr>
      <w:tr w:rsidR="005F6B11" w:rsidRPr="005F6B11" w:rsidTr="00BE75B4">
        <w:trPr>
          <w:trHeight w:val="187"/>
          <w:jc w:val="center"/>
        </w:trPr>
        <w:tc>
          <w:tcPr>
            <w:tcW w:w="2972" w:type="dxa"/>
            <w:shd w:val="clear" w:color="auto" w:fill="auto"/>
          </w:tcPr>
          <w:p w:rsidR="005F6B11" w:rsidRPr="005F6B11" w:rsidRDefault="005F6B11" w:rsidP="00BE75B4">
            <w:pPr>
              <w:pStyle w:val="TAC"/>
              <w:rPr>
                <w:color w:val="auto"/>
                <w:sz w:val="20"/>
                <w:lang w:eastAsia="fi-FI"/>
              </w:rPr>
            </w:pPr>
            <w:r w:rsidRPr="005F6B11">
              <w:rPr>
                <w:color w:val="auto"/>
                <w:sz w:val="20"/>
                <w:lang w:eastAsia="fi-FI"/>
              </w:rPr>
              <w:t>DC_1A_n257A</w:t>
            </w:r>
          </w:p>
          <w:p w:rsidR="005F6B11" w:rsidRPr="005F6B11" w:rsidRDefault="005F6B11" w:rsidP="00BE75B4">
            <w:pPr>
              <w:pStyle w:val="TAC"/>
              <w:rPr>
                <w:color w:val="auto"/>
                <w:sz w:val="20"/>
              </w:rPr>
            </w:pPr>
            <w:r w:rsidRPr="005F6B11">
              <w:rPr>
                <w:color w:val="auto"/>
                <w:sz w:val="20"/>
              </w:rPr>
              <w:t>DC_1A_n257D</w:t>
            </w:r>
          </w:p>
          <w:p w:rsidR="005F6B11" w:rsidRPr="005F6B11" w:rsidRDefault="005F6B11" w:rsidP="00BE75B4">
            <w:pPr>
              <w:pStyle w:val="TAC"/>
              <w:rPr>
                <w:color w:val="auto"/>
                <w:sz w:val="20"/>
              </w:rPr>
            </w:pPr>
            <w:r w:rsidRPr="005F6B11">
              <w:rPr>
                <w:color w:val="auto"/>
                <w:sz w:val="20"/>
              </w:rPr>
              <w:t>DC_1A_n257E</w:t>
            </w:r>
          </w:p>
          <w:p w:rsidR="005F6B11" w:rsidRPr="005F6B11" w:rsidRDefault="005F6B11" w:rsidP="00BE75B4">
            <w:pPr>
              <w:pStyle w:val="TAC"/>
              <w:rPr>
                <w:color w:val="auto"/>
                <w:sz w:val="20"/>
              </w:rPr>
            </w:pPr>
            <w:r w:rsidRPr="005F6B11">
              <w:rPr>
                <w:color w:val="auto"/>
                <w:sz w:val="20"/>
              </w:rPr>
              <w:t>DC_1A_n257F</w:t>
            </w:r>
          </w:p>
          <w:p w:rsidR="005F6B11" w:rsidRPr="005F6B11" w:rsidRDefault="005F6B11" w:rsidP="00BE75B4">
            <w:pPr>
              <w:pStyle w:val="TAC"/>
              <w:rPr>
                <w:color w:val="auto"/>
                <w:sz w:val="20"/>
                <w:lang w:eastAsia="ja-JP"/>
              </w:rPr>
            </w:pPr>
            <w:r w:rsidRPr="005F6B11">
              <w:rPr>
                <w:color w:val="auto"/>
                <w:sz w:val="20"/>
                <w:lang w:eastAsia="ja-JP"/>
              </w:rPr>
              <w:t>DC_1A_n257G</w:t>
            </w:r>
          </w:p>
          <w:p w:rsidR="005F6B11" w:rsidRPr="005F6B11" w:rsidRDefault="005F6B11" w:rsidP="00BE75B4">
            <w:pPr>
              <w:pStyle w:val="TAC"/>
              <w:rPr>
                <w:color w:val="auto"/>
                <w:sz w:val="20"/>
                <w:lang w:eastAsia="ja-JP"/>
              </w:rPr>
            </w:pPr>
            <w:r w:rsidRPr="005F6B11">
              <w:rPr>
                <w:color w:val="auto"/>
                <w:sz w:val="20"/>
                <w:lang w:eastAsia="ja-JP"/>
              </w:rPr>
              <w:t>DC_1A_n257H</w:t>
            </w:r>
          </w:p>
          <w:p w:rsidR="005F6B11" w:rsidRPr="005F6B11" w:rsidRDefault="005F6B11" w:rsidP="00BE75B4">
            <w:pPr>
              <w:pStyle w:val="TAC"/>
              <w:rPr>
                <w:color w:val="auto"/>
                <w:sz w:val="20"/>
                <w:lang w:eastAsia="ja-JP"/>
              </w:rPr>
            </w:pPr>
            <w:r w:rsidRPr="005F6B11">
              <w:rPr>
                <w:color w:val="auto"/>
                <w:sz w:val="20"/>
                <w:lang w:eastAsia="ja-JP"/>
              </w:rPr>
              <w:t>DC_1A_n257I</w:t>
            </w:r>
          </w:p>
          <w:p w:rsidR="005F6B11" w:rsidRPr="005F6B11" w:rsidRDefault="005F6B11" w:rsidP="00BE75B4">
            <w:pPr>
              <w:pStyle w:val="TAC"/>
              <w:rPr>
                <w:color w:val="auto"/>
                <w:sz w:val="20"/>
                <w:lang w:eastAsia="ja-JP"/>
              </w:rPr>
            </w:pPr>
            <w:r w:rsidRPr="005F6B11">
              <w:rPr>
                <w:color w:val="auto"/>
                <w:sz w:val="20"/>
                <w:lang w:eastAsia="ja-JP"/>
              </w:rPr>
              <w:t>DC_1A_n257J</w:t>
            </w:r>
          </w:p>
          <w:p w:rsidR="005F6B11" w:rsidRPr="005F6B11" w:rsidRDefault="005F6B11" w:rsidP="00BE75B4">
            <w:pPr>
              <w:pStyle w:val="TAC"/>
              <w:rPr>
                <w:color w:val="auto"/>
                <w:sz w:val="20"/>
                <w:lang w:eastAsia="ja-JP"/>
              </w:rPr>
            </w:pPr>
            <w:r w:rsidRPr="005F6B11">
              <w:rPr>
                <w:color w:val="auto"/>
                <w:sz w:val="20"/>
                <w:lang w:eastAsia="ja-JP"/>
              </w:rPr>
              <w:t>DC_1A_n257K</w:t>
            </w:r>
          </w:p>
          <w:p w:rsidR="005F6B11" w:rsidRPr="005F6B11" w:rsidRDefault="005F6B11" w:rsidP="00BE75B4">
            <w:pPr>
              <w:pStyle w:val="TAC"/>
              <w:rPr>
                <w:color w:val="auto"/>
                <w:sz w:val="20"/>
                <w:lang w:eastAsia="ja-JP"/>
              </w:rPr>
            </w:pPr>
            <w:r w:rsidRPr="005F6B11">
              <w:rPr>
                <w:color w:val="auto"/>
                <w:sz w:val="20"/>
                <w:lang w:eastAsia="ja-JP"/>
              </w:rPr>
              <w:t>DC_1A_n257L</w:t>
            </w:r>
          </w:p>
          <w:p w:rsidR="005F6B11" w:rsidRPr="005F6B11" w:rsidRDefault="005F6B11" w:rsidP="00BE75B4">
            <w:pPr>
              <w:pStyle w:val="TAC"/>
              <w:rPr>
                <w:color w:val="auto"/>
                <w:sz w:val="20"/>
                <w:lang w:eastAsia="fi-FI"/>
              </w:rPr>
            </w:pPr>
            <w:r w:rsidRPr="005F6B11">
              <w:rPr>
                <w:color w:val="auto"/>
                <w:sz w:val="20"/>
                <w:lang w:eastAsia="ja-JP"/>
              </w:rPr>
              <w:t>DC_1A_n257M</w:t>
            </w:r>
          </w:p>
        </w:tc>
        <w:tc>
          <w:tcPr>
            <w:tcW w:w="2846" w:type="dxa"/>
          </w:tcPr>
          <w:p w:rsidR="005F6B11" w:rsidRPr="005F6B11" w:rsidRDefault="005F6B11" w:rsidP="00BE75B4">
            <w:pPr>
              <w:pStyle w:val="TAC"/>
              <w:rPr>
                <w:color w:val="auto"/>
                <w:sz w:val="20"/>
                <w:lang w:eastAsia="fi-FI"/>
              </w:rPr>
            </w:pPr>
            <w:r w:rsidRPr="005F6B11">
              <w:rPr>
                <w:color w:val="auto"/>
                <w:sz w:val="20"/>
                <w:lang w:eastAsia="fi-FI"/>
              </w:rPr>
              <w:t>DC_1A_n257A</w:t>
            </w:r>
          </w:p>
          <w:p w:rsidR="005F6B11" w:rsidRPr="005F6B11" w:rsidRDefault="005F6B11" w:rsidP="00BE75B4">
            <w:pPr>
              <w:pStyle w:val="TAC"/>
              <w:rPr>
                <w:color w:val="auto"/>
                <w:sz w:val="20"/>
                <w:lang w:eastAsia="fi-FI"/>
              </w:rPr>
            </w:pPr>
            <w:r w:rsidRPr="005F6B11">
              <w:rPr>
                <w:color w:val="auto"/>
                <w:sz w:val="20"/>
                <w:lang w:eastAsia="ja-JP"/>
              </w:rPr>
              <w:t>DC_1A_n257D</w:t>
            </w:r>
          </w:p>
          <w:p w:rsidR="005F6B11" w:rsidRPr="005F6B11" w:rsidRDefault="005F6B11" w:rsidP="00BE75B4">
            <w:pPr>
              <w:pStyle w:val="TAC"/>
              <w:rPr>
                <w:color w:val="auto"/>
                <w:sz w:val="20"/>
                <w:lang w:eastAsia="ja-JP"/>
              </w:rPr>
            </w:pPr>
            <w:r w:rsidRPr="005F6B11">
              <w:rPr>
                <w:color w:val="auto"/>
                <w:sz w:val="20"/>
                <w:lang w:eastAsia="ja-JP"/>
              </w:rPr>
              <w:t>DC_1A_n257G</w:t>
            </w:r>
          </w:p>
          <w:p w:rsidR="005F6B11" w:rsidRPr="005F6B11" w:rsidRDefault="005F6B11" w:rsidP="00BE75B4">
            <w:pPr>
              <w:pStyle w:val="TAC"/>
              <w:rPr>
                <w:color w:val="auto"/>
                <w:sz w:val="20"/>
                <w:lang w:eastAsia="ja-JP"/>
              </w:rPr>
            </w:pPr>
            <w:r w:rsidRPr="005F6B11">
              <w:rPr>
                <w:color w:val="auto"/>
                <w:sz w:val="20"/>
                <w:lang w:eastAsia="ja-JP"/>
              </w:rPr>
              <w:t>DC_1A_n257H</w:t>
            </w:r>
          </w:p>
          <w:p w:rsidR="005F6B11" w:rsidRPr="005F6B11" w:rsidRDefault="005F6B11" w:rsidP="00BE75B4">
            <w:pPr>
              <w:pStyle w:val="TAC"/>
              <w:rPr>
                <w:color w:val="auto"/>
                <w:sz w:val="20"/>
                <w:lang w:eastAsia="ja-JP"/>
              </w:rPr>
            </w:pPr>
            <w:r w:rsidRPr="005F6B11">
              <w:rPr>
                <w:color w:val="auto"/>
                <w:sz w:val="20"/>
                <w:lang w:eastAsia="ja-JP"/>
              </w:rPr>
              <w:t>DC_1A_n257I</w:t>
            </w:r>
          </w:p>
          <w:p w:rsidR="005F6B11" w:rsidRPr="005F6B11" w:rsidRDefault="005F6B11" w:rsidP="00BE75B4">
            <w:pPr>
              <w:pStyle w:val="TAC"/>
              <w:rPr>
                <w:color w:val="auto"/>
                <w:sz w:val="20"/>
                <w:lang w:eastAsia="ja-JP"/>
              </w:rPr>
            </w:pPr>
            <w:r w:rsidRPr="005F6B11">
              <w:rPr>
                <w:color w:val="auto"/>
                <w:sz w:val="20"/>
                <w:lang w:eastAsia="ja-JP"/>
              </w:rPr>
              <w:t>DC_1A_n257J</w:t>
            </w:r>
          </w:p>
          <w:p w:rsidR="005F6B11" w:rsidRPr="005F6B11" w:rsidRDefault="005F6B11" w:rsidP="00BE75B4">
            <w:pPr>
              <w:pStyle w:val="TAC"/>
              <w:rPr>
                <w:color w:val="auto"/>
                <w:sz w:val="20"/>
                <w:lang w:eastAsia="ja-JP"/>
              </w:rPr>
            </w:pPr>
            <w:r w:rsidRPr="005F6B11">
              <w:rPr>
                <w:color w:val="auto"/>
                <w:sz w:val="20"/>
                <w:lang w:eastAsia="ja-JP"/>
              </w:rPr>
              <w:t>DC_1A_n257K</w:t>
            </w:r>
          </w:p>
          <w:p w:rsidR="005F6B11" w:rsidRPr="005F6B11" w:rsidRDefault="005F6B11" w:rsidP="00BE75B4">
            <w:pPr>
              <w:pStyle w:val="TAC"/>
              <w:rPr>
                <w:color w:val="auto"/>
                <w:sz w:val="20"/>
                <w:lang w:eastAsia="ja-JP"/>
              </w:rPr>
            </w:pPr>
            <w:r w:rsidRPr="005F6B11">
              <w:rPr>
                <w:color w:val="auto"/>
                <w:sz w:val="20"/>
                <w:lang w:eastAsia="ja-JP"/>
              </w:rPr>
              <w:t>DC_1A_n257L</w:t>
            </w:r>
          </w:p>
          <w:p w:rsidR="005F6B11" w:rsidRPr="005F6B11" w:rsidRDefault="005F6B11" w:rsidP="00BE75B4">
            <w:pPr>
              <w:pStyle w:val="TAC"/>
              <w:rPr>
                <w:color w:val="auto"/>
                <w:sz w:val="20"/>
                <w:lang w:eastAsia="fi-FI"/>
              </w:rPr>
            </w:pPr>
            <w:r w:rsidRPr="005F6B11">
              <w:rPr>
                <w:color w:val="auto"/>
                <w:sz w:val="20"/>
                <w:lang w:eastAsia="ja-JP"/>
              </w:rPr>
              <w:t>DC_1A_n257M</w:t>
            </w:r>
          </w:p>
        </w:tc>
      </w:tr>
    </w:tbl>
    <w:p w:rsidR="005F6B11" w:rsidRPr="005F6B11" w:rsidRDefault="005F6B11" w:rsidP="005F6B11">
      <w:pPr>
        <w:rPr>
          <w:sz w:val="20"/>
        </w:rPr>
      </w:pPr>
    </w:p>
    <w:p w:rsidR="005F6B11" w:rsidRDefault="002C7489" w:rsidP="001C7E88">
      <w:pPr>
        <w:rPr>
          <w:rFonts w:eastAsia="宋体"/>
          <w:sz w:val="20"/>
          <w:lang w:eastAsia="zh-CN"/>
        </w:rPr>
      </w:pPr>
      <w:r>
        <w:rPr>
          <w:rFonts w:eastAsia="宋体" w:hint="eastAsia"/>
          <w:sz w:val="20"/>
          <w:lang w:eastAsia="zh-CN"/>
        </w:rPr>
        <w:t>H</w:t>
      </w:r>
      <w:r>
        <w:rPr>
          <w:rFonts w:eastAsia="宋体"/>
          <w:sz w:val="20"/>
          <w:lang w:eastAsia="zh-CN"/>
        </w:rPr>
        <w:t xml:space="preserve">owever, for the CA configuration tables in TS 38.101-2, </w:t>
      </w:r>
      <w:r w:rsidR="00640931">
        <w:rPr>
          <w:rFonts w:eastAsia="宋体"/>
          <w:sz w:val="20"/>
          <w:lang w:eastAsia="zh-CN"/>
        </w:rPr>
        <w:t>all the possible uplink CA configurations are listed in the table, which does not use the same rule as in TS 38.101-3 and results in the redundancy of the configuration table.</w:t>
      </w:r>
    </w:p>
    <w:p w:rsidR="00E13DA1" w:rsidRDefault="00E13DA1" w:rsidP="001C7E88">
      <w:pPr>
        <w:rPr>
          <w:rFonts w:eastAsia="宋体"/>
          <w:sz w:val="20"/>
          <w:lang w:eastAsia="zh-CN"/>
        </w:rPr>
      </w:pPr>
      <w:r w:rsidRPr="005F6B11">
        <w:rPr>
          <w:i/>
          <w:sz w:val="20"/>
          <w:u w:val="single"/>
          <w:lang w:eastAsia="zh-CN"/>
        </w:rPr>
        <w:t>Example</w:t>
      </w:r>
      <w:r w:rsidR="00C142E9">
        <w:rPr>
          <w:i/>
          <w:sz w:val="20"/>
          <w:u w:val="single"/>
          <w:lang w:eastAsia="zh-CN"/>
        </w:rPr>
        <w:t xml:space="preserve"> 2 (Intra-band CA within FR2)</w:t>
      </w:r>
      <w:r w:rsidRPr="005F6B11">
        <w:rPr>
          <w:i/>
          <w:sz w:val="20"/>
          <w:u w:val="single"/>
          <w:lang w:eastAsia="zh-CN"/>
        </w:rPr>
        <w:t>:</w:t>
      </w:r>
    </w:p>
    <w:p w:rsidR="002C7489" w:rsidRPr="002C7489" w:rsidRDefault="002C7489" w:rsidP="001C7E88">
      <w:pPr>
        <w:rPr>
          <w:rFonts w:eastAsia="宋体"/>
          <w:sz w:val="20"/>
          <w:lang w:eastAsia="zh-CN"/>
        </w:rPr>
      </w:pPr>
      <w:r w:rsidRPr="002C7489">
        <w:rPr>
          <w:rFonts w:eastAsia="宋体"/>
          <w:noProof/>
          <w:sz w:val="20"/>
          <w:lang w:val="en-US" w:eastAsia="zh-CN"/>
        </w:rPr>
        <w:lastRenderedPageBreak/>
        <w:drawing>
          <wp:inline distT="0" distB="0" distL="0" distR="0" wp14:anchorId="125EEE4F" wp14:editId="2AE6B976">
            <wp:extent cx="6077262" cy="41404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077262" cy="4140413"/>
                    </a:xfrm>
                    <a:prstGeom prst="rect">
                      <a:avLst/>
                    </a:prstGeom>
                  </pic:spPr>
                </pic:pic>
              </a:graphicData>
            </a:graphic>
          </wp:inline>
        </w:drawing>
      </w:r>
    </w:p>
    <w:p w:rsidR="003C214D" w:rsidRPr="00990520" w:rsidRDefault="00E13DA1" w:rsidP="006852CE">
      <w:pPr>
        <w:rPr>
          <w:rFonts w:eastAsia="宋体"/>
          <w:sz w:val="20"/>
          <w:lang w:eastAsia="zh-CN"/>
        </w:rPr>
      </w:pPr>
      <w:r>
        <w:rPr>
          <w:rFonts w:eastAsia="宋体" w:hint="eastAsia"/>
          <w:sz w:val="20"/>
          <w:lang w:eastAsia="zh-CN"/>
        </w:rPr>
        <w:t>I</w:t>
      </w:r>
      <w:r>
        <w:rPr>
          <w:rFonts w:eastAsia="宋体"/>
          <w:sz w:val="20"/>
          <w:lang w:eastAsia="zh-CN"/>
        </w:rPr>
        <w:t xml:space="preserve">n this paper, we propose to </w:t>
      </w:r>
      <w:r w:rsidR="00811565">
        <w:rPr>
          <w:rFonts w:eastAsia="宋体"/>
          <w:sz w:val="20"/>
          <w:lang w:eastAsia="zh-CN"/>
        </w:rPr>
        <w:t>analyse how to simplify the UL CA configurations in CA configuration tables.</w:t>
      </w:r>
    </w:p>
    <w:p w:rsidR="008E22C2" w:rsidRPr="003C214D" w:rsidRDefault="003C214D"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Discussion</w:t>
      </w:r>
    </w:p>
    <w:p w:rsidR="009E1186" w:rsidRDefault="003413B5" w:rsidP="008E22C2">
      <w:pPr>
        <w:rPr>
          <w:rFonts w:eastAsia="宋体"/>
          <w:sz w:val="20"/>
          <w:lang w:eastAsia="zh-CN"/>
        </w:rPr>
      </w:pPr>
      <w:r>
        <w:rPr>
          <w:rFonts w:eastAsia="宋体"/>
          <w:sz w:val="20"/>
          <w:lang w:val="en-US" w:eastAsia="zh-CN"/>
        </w:rPr>
        <w:t xml:space="preserve">As </w:t>
      </w:r>
      <w:r w:rsidR="00E13DA1">
        <w:rPr>
          <w:rFonts w:eastAsia="宋体"/>
          <w:sz w:val="20"/>
          <w:lang w:val="en-US" w:eastAsia="zh-CN"/>
        </w:rPr>
        <w:t>discussed above,</w:t>
      </w:r>
      <w:r w:rsidR="009E1186">
        <w:rPr>
          <w:rFonts w:eastAsia="宋体"/>
          <w:sz w:val="20"/>
          <w:lang w:val="en-US" w:eastAsia="zh-CN"/>
        </w:rPr>
        <w:t xml:space="preserve"> </w:t>
      </w:r>
      <w:r w:rsidR="00811565">
        <w:rPr>
          <w:rFonts w:eastAsia="宋体"/>
          <w:sz w:val="20"/>
          <w:lang w:val="en-US" w:eastAsia="zh-CN"/>
        </w:rPr>
        <w:t xml:space="preserve">the </w:t>
      </w:r>
      <w:r w:rsidR="0099591E">
        <w:rPr>
          <w:rFonts w:eastAsia="宋体"/>
          <w:sz w:val="20"/>
          <w:lang w:val="en-US" w:eastAsia="zh-CN"/>
        </w:rPr>
        <w:t xml:space="preserve">intra-band </w:t>
      </w:r>
      <w:r w:rsidR="00811565">
        <w:rPr>
          <w:rFonts w:eastAsia="宋体"/>
          <w:sz w:val="20"/>
          <w:lang w:val="en-US" w:eastAsia="zh-CN"/>
        </w:rPr>
        <w:t>CA configuration</w:t>
      </w:r>
      <w:r w:rsidR="0099591E">
        <w:rPr>
          <w:rFonts w:eastAsia="宋体"/>
          <w:sz w:val="20"/>
          <w:lang w:val="en-US" w:eastAsia="zh-CN"/>
        </w:rPr>
        <w:t xml:space="preserve">s and inter-band CA configurations within FR2 in </w:t>
      </w:r>
      <w:r w:rsidR="0099591E">
        <w:rPr>
          <w:rFonts w:eastAsia="宋体"/>
          <w:sz w:val="20"/>
          <w:lang w:eastAsia="zh-CN"/>
        </w:rPr>
        <w:t xml:space="preserve">TS 38.101-2 list all possible UL CA configurations. Furthermore, if we look at inter-band </w:t>
      </w:r>
      <w:r w:rsidR="00C142E9">
        <w:rPr>
          <w:rFonts w:eastAsia="宋体"/>
          <w:sz w:val="20"/>
          <w:lang w:eastAsia="zh-CN"/>
        </w:rPr>
        <w:t>CA configuration between FR1 and FR2 in TS 38.101-3, we see that all possible UL CA configurations are listed in the CA configuration table.</w:t>
      </w:r>
    </w:p>
    <w:p w:rsidR="00C142E9" w:rsidRDefault="00C142E9" w:rsidP="008E22C2">
      <w:pPr>
        <w:rPr>
          <w:rFonts w:eastAsia="宋体"/>
          <w:sz w:val="20"/>
          <w:lang w:eastAsia="zh-CN"/>
        </w:rPr>
      </w:pPr>
      <w:r w:rsidRPr="005F6B11">
        <w:rPr>
          <w:i/>
          <w:sz w:val="20"/>
          <w:u w:val="single"/>
          <w:lang w:eastAsia="zh-CN"/>
        </w:rPr>
        <w:t>Example</w:t>
      </w:r>
      <w:r>
        <w:rPr>
          <w:i/>
          <w:sz w:val="20"/>
          <w:u w:val="single"/>
          <w:lang w:eastAsia="zh-CN"/>
        </w:rPr>
        <w:t xml:space="preserve"> </w:t>
      </w:r>
      <w:r w:rsidR="0069034A">
        <w:rPr>
          <w:i/>
          <w:sz w:val="20"/>
          <w:u w:val="single"/>
          <w:lang w:eastAsia="zh-CN"/>
        </w:rPr>
        <w:t xml:space="preserve">3 </w:t>
      </w:r>
      <w:r>
        <w:rPr>
          <w:i/>
          <w:sz w:val="20"/>
          <w:u w:val="single"/>
          <w:lang w:eastAsia="zh-CN"/>
        </w:rPr>
        <w:t>(Inter-band CA between FR1 and FR2)</w:t>
      </w:r>
      <w:r w:rsidRPr="005F6B11">
        <w:rPr>
          <w:i/>
          <w:sz w:val="20"/>
          <w:u w:val="single"/>
          <w:lang w:eastAsia="zh-CN"/>
        </w:rPr>
        <w:t>:</w:t>
      </w:r>
    </w:p>
    <w:p w:rsidR="00C142E9" w:rsidRDefault="00C142E9" w:rsidP="008E22C2">
      <w:pPr>
        <w:rPr>
          <w:rFonts w:eastAsia="宋体"/>
          <w:sz w:val="20"/>
          <w:lang w:val="en-US" w:eastAsia="zh-CN"/>
        </w:rPr>
      </w:pPr>
      <w:r w:rsidRPr="00C142E9">
        <w:rPr>
          <w:rFonts w:eastAsia="宋体"/>
          <w:noProof/>
          <w:sz w:val="20"/>
          <w:lang w:val="en-US" w:eastAsia="zh-CN"/>
        </w:rPr>
        <w:lastRenderedPageBreak/>
        <w:drawing>
          <wp:inline distT="0" distB="0" distL="0" distR="0" wp14:anchorId="51E2BE88" wp14:editId="45546F97">
            <wp:extent cx="6122035" cy="36252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3625215"/>
                    </a:xfrm>
                    <a:prstGeom prst="rect">
                      <a:avLst/>
                    </a:prstGeom>
                  </pic:spPr>
                </pic:pic>
              </a:graphicData>
            </a:graphic>
          </wp:inline>
        </w:drawing>
      </w:r>
    </w:p>
    <w:p w:rsidR="003C5ECB" w:rsidRDefault="003C5ECB" w:rsidP="003C5ECB">
      <w:pPr>
        <w:rPr>
          <w:b/>
        </w:rPr>
      </w:pPr>
      <w:r>
        <w:rPr>
          <w:b/>
        </w:rPr>
        <w:t>Observation 1:</w:t>
      </w:r>
      <w:r>
        <w:rPr>
          <w:b/>
        </w:rPr>
        <w:tab/>
        <w:t xml:space="preserve"> The uplink CA configurations within FR2 in TS 38.101-2 and the uplink CA configurations between FR1 and FR2 in TS 38.101-3 list all possible UL configurations in the CA configuration table, which make the table quite redundant and inconsistent with rules for DC configurations.</w:t>
      </w:r>
    </w:p>
    <w:p w:rsidR="00811565" w:rsidRPr="00811565" w:rsidRDefault="003C5ECB" w:rsidP="008E22C2">
      <w:pPr>
        <w:rPr>
          <w:rFonts w:eastAsia="宋体"/>
          <w:sz w:val="20"/>
          <w:lang w:val="en-US" w:eastAsia="zh-CN"/>
        </w:rPr>
      </w:pPr>
      <w:r>
        <w:rPr>
          <w:rFonts w:eastAsia="宋体"/>
          <w:sz w:val="20"/>
          <w:lang w:eastAsia="zh-CN"/>
        </w:rPr>
        <w:t>Here</w:t>
      </w:r>
      <w:r w:rsidR="00811565">
        <w:rPr>
          <w:rFonts w:eastAsia="宋体"/>
          <w:sz w:val="20"/>
          <w:lang w:eastAsia="zh-CN"/>
        </w:rPr>
        <w:t xml:space="preserve"> we propose to apply the same rule </w:t>
      </w:r>
      <w:r>
        <w:rPr>
          <w:rFonts w:eastAsia="宋体"/>
          <w:sz w:val="20"/>
          <w:lang w:eastAsia="zh-CN"/>
        </w:rPr>
        <w:t xml:space="preserve">in CA configuration table </w:t>
      </w:r>
      <w:r w:rsidR="00811565">
        <w:rPr>
          <w:rFonts w:eastAsia="宋体"/>
          <w:sz w:val="20"/>
          <w:lang w:eastAsia="zh-CN"/>
        </w:rPr>
        <w:t xml:space="preserve">for </w:t>
      </w:r>
      <w:r>
        <w:rPr>
          <w:rFonts w:eastAsia="宋体"/>
          <w:sz w:val="20"/>
          <w:lang w:eastAsia="zh-CN"/>
        </w:rPr>
        <w:t>uplink as</w:t>
      </w:r>
      <w:r w:rsidR="003822C7">
        <w:rPr>
          <w:rFonts w:eastAsia="宋体"/>
          <w:sz w:val="20"/>
          <w:lang w:eastAsia="zh-CN"/>
        </w:rPr>
        <w:t xml:space="preserve"> in DC </w:t>
      </w:r>
      <w:r w:rsidR="00811565">
        <w:rPr>
          <w:rFonts w:eastAsia="宋体"/>
          <w:sz w:val="20"/>
          <w:lang w:eastAsia="zh-CN"/>
        </w:rPr>
        <w:t>configuration</w:t>
      </w:r>
      <w:r w:rsidR="003822C7">
        <w:rPr>
          <w:rFonts w:eastAsia="宋体"/>
          <w:sz w:val="20"/>
          <w:lang w:eastAsia="zh-CN"/>
        </w:rPr>
        <w:t xml:space="preserve"> table.</w:t>
      </w:r>
    </w:p>
    <w:p w:rsidR="003822C7" w:rsidRDefault="003822C7" w:rsidP="008E22C2">
      <w:pPr>
        <w:rPr>
          <w:rFonts w:eastAsia="宋体"/>
          <w:sz w:val="20"/>
          <w:lang w:eastAsia="zh-CN"/>
        </w:rPr>
      </w:pPr>
      <w:r>
        <w:rPr>
          <w:b/>
        </w:rPr>
        <w:t>Proposal 1:</w:t>
      </w:r>
      <w:r>
        <w:rPr>
          <w:b/>
        </w:rPr>
        <w:tab/>
        <w:t xml:space="preserve"> </w:t>
      </w:r>
      <w:r w:rsidR="0069034A">
        <w:rPr>
          <w:b/>
        </w:rPr>
        <w:t>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p w:rsidR="003D1600" w:rsidRDefault="003D1600" w:rsidP="008E22C2">
      <w:pPr>
        <w:rPr>
          <w:rFonts w:eastAsia="宋体"/>
          <w:sz w:val="20"/>
          <w:lang w:eastAsia="zh-CN"/>
        </w:rPr>
      </w:pPr>
      <w:r>
        <w:rPr>
          <w:rFonts w:eastAsia="宋体"/>
          <w:sz w:val="20"/>
          <w:lang w:eastAsia="zh-CN"/>
        </w:rPr>
        <w:t xml:space="preserve">Based on the </w:t>
      </w:r>
      <w:r w:rsidR="0069034A">
        <w:rPr>
          <w:rFonts w:eastAsia="宋体" w:hint="eastAsia"/>
          <w:sz w:val="20"/>
          <w:lang w:eastAsia="zh-CN"/>
        </w:rPr>
        <w:t>P</w:t>
      </w:r>
      <w:r w:rsidR="0069034A">
        <w:rPr>
          <w:rFonts w:eastAsia="宋体"/>
          <w:sz w:val="20"/>
          <w:lang w:eastAsia="zh-CN"/>
        </w:rPr>
        <w:t xml:space="preserve">roposal 1, we have the following revised </w:t>
      </w:r>
      <w:r>
        <w:rPr>
          <w:rFonts w:eastAsia="宋体"/>
          <w:sz w:val="20"/>
          <w:lang w:eastAsia="zh-CN"/>
        </w:rPr>
        <w:t>uplink CA configurations for the above examples.</w:t>
      </w:r>
    </w:p>
    <w:p w:rsidR="00AD0212" w:rsidRDefault="00AD0212" w:rsidP="00AD0212">
      <w:pPr>
        <w:rPr>
          <w:rFonts w:eastAsia="宋体"/>
          <w:sz w:val="20"/>
          <w:lang w:eastAsia="zh-CN"/>
        </w:rPr>
      </w:pPr>
      <w:r w:rsidRPr="005F6B11">
        <w:rPr>
          <w:i/>
          <w:sz w:val="20"/>
          <w:u w:val="single"/>
          <w:lang w:eastAsia="zh-CN"/>
        </w:rPr>
        <w:t>Example</w:t>
      </w:r>
      <w:r>
        <w:rPr>
          <w:i/>
          <w:sz w:val="20"/>
          <w:u w:val="single"/>
          <w:lang w:eastAsia="zh-CN"/>
        </w:rPr>
        <w:t xml:space="preserve"> </w:t>
      </w:r>
      <w:r w:rsidRPr="00AD0212">
        <w:rPr>
          <w:i/>
          <w:sz w:val="20"/>
          <w:highlight w:val="yellow"/>
          <w:u w:val="single"/>
          <w:lang w:eastAsia="zh-CN"/>
        </w:rPr>
        <w:t>2a</w:t>
      </w:r>
      <w:r>
        <w:rPr>
          <w:i/>
          <w:sz w:val="20"/>
          <w:u w:val="single"/>
          <w:lang w:eastAsia="zh-CN"/>
        </w:rPr>
        <w:t xml:space="preserve"> (Intra-band CA within FR2 </w:t>
      </w:r>
      <w:r w:rsidRPr="00AD0212">
        <w:rPr>
          <w:i/>
          <w:sz w:val="20"/>
          <w:highlight w:val="yellow"/>
          <w:u w:val="single"/>
          <w:lang w:eastAsia="zh-CN"/>
        </w:rPr>
        <w:t>– Revised UL Configurations</w:t>
      </w:r>
      <w:r>
        <w:rPr>
          <w:i/>
          <w:sz w:val="20"/>
          <w:u w:val="single"/>
          <w:lang w:eastAsia="zh-CN"/>
        </w:rPr>
        <w:t>)</w:t>
      </w:r>
      <w:r w:rsidRPr="005F6B11">
        <w:rPr>
          <w:i/>
          <w:sz w:val="20"/>
          <w:u w:val="single"/>
          <w:lang w:eastAsia="zh-CN"/>
        </w:rPr>
        <w:t>:</w:t>
      </w:r>
    </w:p>
    <w:p w:rsidR="00AD0212" w:rsidRPr="00E32B0F" w:rsidRDefault="00AD0212" w:rsidP="008E22C2">
      <w:pPr>
        <w:rPr>
          <w:rFonts w:eastAsia="宋体"/>
          <w:sz w:val="20"/>
          <w:lang w:eastAsia="zh-CN"/>
        </w:rPr>
      </w:pPr>
    </w:p>
    <w:p w:rsidR="00A16AC9" w:rsidRDefault="00A66567" w:rsidP="00AD0212">
      <w:pPr>
        <w:rPr>
          <w:i/>
          <w:sz w:val="20"/>
          <w:u w:val="single"/>
          <w:lang w:eastAsia="zh-CN"/>
        </w:rPr>
      </w:pPr>
      <w:r w:rsidRPr="002573CC">
        <w:rPr>
          <w:rFonts w:eastAsia="宋体"/>
          <w:noProof/>
          <w:sz w:val="20"/>
          <w:lang w:val="en-US" w:eastAsia="zh-CN"/>
        </w:rPr>
        <w:lastRenderedPageBreak/>
        <w:drawing>
          <wp:inline distT="0" distB="0" distL="0" distR="0" wp14:anchorId="3F86A2A7" wp14:editId="2B1ABF9B">
            <wp:extent cx="6064562" cy="414041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64562" cy="4140413"/>
                    </a:xfrm>
                    <a:prstGeom prst="rect">
                      <a:avLst/>
                    </a:prstGeom>
                  </pic:spPr>
                </pic:pic>
              </a:graphicData>
            </a:graphic>
          </wp:inline>
        </w:drawing>
      </w:r>
    </w:p>
    <w:p w:rsidR="00AD0212" w:rsidRDefault="00AD0212" w:rsidP="00AD0212">
      <w:pPr>
        <w:rPr>
          <w:i/>
          <w:sz w:val="20"/>
          <w:u w:val="single"/>
          <w:lang w:eastAsia="zh-CN"/>
        </w:rPr>
      </w:pPr>
    </w:p>
    <w:p w:rsidR="00A16AC9" w:rsidRDefault="00A16AC9" w:rsidP="00AD0212">
      <w:pPr>
        <w:rPr>
          <w:rFonts w:eastAsia="宋体"/>
          <w:sz w:val="20"/>
          <w:lang w:eastAsia="zh-CN"/>
        </w:rPr>
      </w:pPr>
      <w:r w:rsidRPr="005F6B11">
        <w:rPr>
          <w:i/>
          <w:sz w:val="20"/>
          <w:u w:val="single"/>
          <w:lang w:eastAsia="zh-CN"/>
        </w:rPr>
        <w:t>Example</w:t>
      </w:r>
      <w:r>
        <w:rPr>
          <w:i/>
          <w:sz w:val="20"/>
          <w:u w:val="single"/>
          <w:lang w:eastAsia="zh-CN"/>
        </w:rPr>
        <w:t xml:space="preserve"> </w:t>
      </w:r>
      <w:r w:rsidRPr="00AD0212">
        <w:rPr>
          <w:i/>
          <w:sz w:val="20"/>
          <w:highlight w:val="yellow"/>
          <w:u w:val="single"/>
          <w:lang w:eastAsia="zh-CN"/>
        </w:rPr>
        <w:t>3a</w:t>
      </w:r>
      <w:r>
        <w:rPr>
          <w:i/>
          <w:sz w:val="20"/>
          <w:u w:val="single"/>
          <w:lang w:eastAsia="zh-CN"/>
        </w:rPr>
        <w:t xml:space="preserve"> (Inter-band CA between FR1 and FR2 </w:t>
      </w:r>
      <w:r w:rsidRPr="00AD0212">
        <w:rPr>
          <w:i/>
          <w:sz w:val="20"/>
          <w:highlight w:val="yellow"/>
          <w:u w:val="single"/>
          <w:lang w:eastAsia="zh-CN"/>
        </w:rPr>
        <w:t>– Revised UL Configurations</w:t>
      </w:r>
      <w:r>
        <w:rPr>
          <w:i/>
          <w:sz w:val="20"/>
          <w:u w:val="single"/>
          <w:lang w:eastAsia="zh-CN"/>
        </w:rPr>
        <w:t>)</w:t>
      </w:r>
    </w:p>
    <w:p w:rsidR="003D1600" w:rsidRPr="00AD0212" w:rsidRDefault="00EB4DFD" w:rsidP="008E22C2">
      <w:pPr>
        <w:rPr>
          <w:rFonts w:eastAsia="宋体"/>
          <w:sz w:val="20"/>
          <w:lang w:eastAsia="zh-CN"/>
        </w:rPr>
      </w:pPr>
      <w:r w:rsidRPr="00EB4DFD">
        <w:rPr>
          <w:rFonts w:eastAsia="宋体"/>
          <w:noProof/>
          <w:sz w:val="20"/>
          <w:lang w:val="en-US" w:eastAsia="zh-CN"/>
        </w:rPr>
        <w:drawing>
          <wp:inline distT="0" distB="0" distL="0" distR="0" wp14:anchorId="435C0CF4" wp14:editId="7525C299">
            <wp:extent cx="6122035" cy="36569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656965"/>
                    </a:xfrm>
                    <a:prstGeom prst="rect">
                      <a:avLst/>
                    </a:prstGeom>
                  </pic:spPr>
                </pic:pic>
              </a:graphicData>
            </a:graphic>
          </wp:inline>
        </w:drawing>
      </w:r>
    </w:p>
    <w:p w:rsidR="00A66567" w:rsidRDefault="00A66567" w:rsidP="00A66567">
      <w:pPr>
        <w:rPr>
          <w:rFonts w:eastAsia="宋体"/>
          <w:sz w:val="20"/>
          <w:lang w:eastAsia="zh-CN"/>
        </w:rPr>
      </w:pPr>
      <w:r>
        <w:rPr>
          <w:b/>
        </w:rPr>
        <w:t>Proposal 2:</w:t>
      </w:r>
      <w:r>
        <w:rPr>
          <w:b/>
        </w:rPr>
        <w:tab/>
        <w:t xml:space="preserve"> It is proposed to apply the rules in Proposal 1</w:t>
      </w:r>
      <w:r w:rsidR="00752FC5">
        <w:rPr>
          <w:b/>
        </w:rPr>
        <w:t xml:space="preserve"> for uplink CA band combination request.</w:t>
      </w:r>
    </w:p>
    <w:p w:rsidR="008D5B61" w:rsidRDefault="008D5B61" w:rsidP="008D5B61">
      <w:pPr>
        <w:rPr>
          <w:b/>
        </w:rPr>
      </w:pPr>
    </w:p>
    <w:p w:rsidR="00662F5A" w:rsidRDefault="008273A5" w:rsidP="00662F5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lastRenderedPageBreak/>
        <w:t>4</w:t>
      </w:r>
      <w:r w:rsidR="00C517A4">
        <w:rPr>
          <w:rFonts w:ascii="Times New Roman" w:eastAsia="宋体" w:hAnsi="Times New Roman"/>
          <w:b/>
          <w:sz w:val="24"/>
          <w:szCs w:val="24"/>
          <w:lang w:val="en-US" w:eastAsia="zh-CN"/>
        </w:rPr>
        <w:tab/>
      </w:r>
      <w:r w:rsidR="00662F5A">
        <w:rPr>
          <w:rFonts w:ascii="Times New Roman" w:eastAsia="宋体" w:hAnsi="Times New Roman"/>
          <w:b/>
          <w:sz w:val="24"/>
          <w:szCs w:val="24"/>
          <w:lang w:val="en-US" w:eastAsia="zh-CN"/>
        </w:rPr>
        <w:t>Conclusion</w:t>
      </w:r>
    </w:p>
    <w:p w:rsidR="008273A5" w:rsidRDefault="00356E6A" w:rsidP="008273A5">
      <w:pPr>
        <w:rPr>
          <w:rFonts w:eastAsia="宋体"/>
          <w:sz w:val="20"/>
          <w:lang w:eastAsia="zh-CN"/>
        </w:rPr>
      </w:pPr>
      <w:r>
        <w:rPr>
          <w:rFonts w:eastAsia="宋体"/>
          <w:sz w:val="20"/>
          <w:lang w:eastAsia="zh-CN"/>
        </w:rPr>
        <w:t xml:space="preserve">In this paper, </w:t>
      </w:r>
      <w:r w:rsidR="00E9425C">
        <w:rPr>
          <w:rFonts w:eastAsia="宋体"/>
          <w:sz w:val="20"/>
          <w:lang w:eastAsia="zh-CN"/>
        </w:rPr>
        <w:t xml:space="preserve">we </w:t>
      </w:r>
      <w:r w:rsidR="00752FC5">
        <w:rPr>
          <w:rFonts w:eastAsia="宋体"/>
          <w:sz w:val="20"/>
          <w:lang w:eastAsia="zh-CN"/>
        </w:rPr>
        <w:t>analyse how to simplify the UL CA configurations in CA configuration tables.</w:t>
      </w:r>
      <w:r w:rsidR="00E9425C">
        <w:rPr>
          <w:rFonts w:eastAsia="宋体"/>
          <w:sz w:val="20"/>
          <w:lang w:eastAsia="zh-CN"/>
        </w:rPr>
        <w:t xml:space="preserve"> </w:t>
      </w:r>
      <w:r w:rsidR="007F1B0C">
        <w:rPr>
          <w:rFonts w:eastAsia="宋体"/>
          <w:sz w:val="20"/>
          <w:lang w:eastAsia="zh-CN"/>
        </w:rPr>
        <w:t>The following observation and proposals are proposed.</w:t>
      </w:r>
    </w:p>
    <w:p w:rsidR="00752FC5" w:rsidRDefault="00752FC5" w:rsidP="00752FC5">
      <w:pPr>
        <w:rPr>
          <w:b/>
        </w:rPr>
      </w:pPr>
      <w:r>
        <w:rPr>
          <w:b/>
        </w:rPr>
        <w:t>Observation 1:</w:t>
      </w:r>
      <w:r>
        <w:rPr>
          <w:b/>
        </w:rPr>
        <w:tab/>
        <w:t xml:space="preserve"> The uplink CA configurations within FR2 in TS 38.101-2 and the uplink CA configurations between FR1 and FR2 in TS 38.101-3 list all possible UL configurations in the CA configuration table, which make the table quite redundant and inconsistent with rules for DC configurations.</w:t>
      </w:r>
    </w:p>
    <w:p w:rsidR="00752FC5" w:rsidRDefault="00752FC5" w:rsidP="00752FC5">
      <w:pPr>
        <w:rPr>
          <w:rFonts w:eastAsia="宋体"/>
          <w:sz w:val="20"/>
          <w:lang w:eastAsia="zh-CN"/>
        </w:rPr>
      </w:pPr>
      <w:r>
        <w:rPr>
          <w:b/>
        </w:rPr>
        <w:t>Proposal 1:</w:t>
      </w:r>
      <w:r>
        <w:rPr>
          <w:b/>
        </w:rPr>
        <w:tab/>
        <w:t xml:space="preserve"> For uplink CA configuration, it is suggested that the same rules as in DC configuration table be applied to CA configuration table, i.e. if multiple UL CA configurations are listed for multiple DL CA configurations, valid uplink CA configurations are such that uplink does not have more carriers than downlink.</w:t>
      </w:r>
    </w:p>
    <w:p w:rsidR="00752FC5" w:rsidRDefault="00752FC5" w:rsidP="00752FC5">
      <w:pPr>
        <w:rPr>
          <w:rFonts w:eastAsia="宋体"/>
          <w:sz w:val="20"/>
          <w:lang w:eastAsia="zh-CN"/>
        </w:rPr>
      </w:pPr>
      <w:r>
        <w:rPr>
          <w:b/>
        </w:rPr>
        <w:t>Proposal 2:</w:t>
      </w:r>
      <w:r>
        <w:rPr>
          <w:b/>
        </w:rPr>
        <w:tab/>
        <w:t xml:space="preserve"> It is proposed to apply the rules in Proposal 1 for uplink CA band combination request.</w:t>
      </w:r>
    </w:p>
    <w:p w:rsidR="00E9425C" w:rsidRPr="00752FC5" w:rsidRDefault="00E9425C" w:rsidP="008E22C2">
      <w:pPr>
        <w:rPr>
          <w:b/>
        </w:rPr>
      </w:pPr>
    </w:p>
    <w:p w:rsidR="00E9425C" w:rsidRDefault="00E9425C" w:rsidP="008E22C2">
      <w:pPr>
        <w:rPr>
          <w:b/>
        </w:rPr>
      </w:pPr>
    </w:p>
    <w:p w:rsidR="008E22C2" w:rsidRPr="003C214D" w:rsidRDefault="00C517A4"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5</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rsidR="00AC1E56" w:rsidRPr="005D1CA5" w:rsidRDefault="00AC1E56" w:rsidP="00AC1E56">
      <w:pPr>
        <w:rPr>
          <w:rFonts w:eastAsia="宋体"/>
          <w:sz w:val="20"/>
          <w:lang w:val="en-US" w:eastAsia="zh-CN"/>
        </w:rPr>
      </w:pPr>
      <w:r>
        <w:rPr>
          <w:rFonts w:eastAsia="宋体"/>
          <w:sz w:val="20"/>
          <w:lang w:val="en-US" w:eastAsia="zh-CN"/>
        </w:rPr>
        <w:t xml:space="preserve">[1] </w:t>
      </w:r>
      <w:r w:rsidR="00752FC5">
        <w:rPr>
          <w:rFonts w:eastAsia="宋体"/>
          <w:sz w:val="20"/>
          <w:lang w:val="en-US" w:eastAsia="zh-CN"/>
        </w:rPr>
        <w:t xml:space="preserve">TS 38.101-2, </w:t>
      </w:r>
      <w:r w:rsidR="00C65713">
        <w:rPr>
          <w:rFonts w:eastAsia="宋体"/>
          <w:sz w:val="20"/>
          <w:lang w:val="en-US" w:eastAsia="zh-CN"/>
        </w:rPr>
        <w:t xml:space="preserve">NR </w:t>
      </w:r>
      <w:r w:rsidR="00C65713" w:rsidRPr="00C65713">
        <w:rPr>
          <w:rFonts w:eastAsia="宋体"/>
          <w:sz w:val="20"/>
          <w:lang w:eastAsia="zh-CN"/>
        </w:rPr>
        <w:t>User Equipment (UE) radio transmission and reception; Part 2: Range 2 Standalone</w:t>
      </w:r>
      <w:r w:rsidR="00C65713">
        <w:rPr>
          <w:rFonts w:eastAsia="宋体"/>
          <w:sz w:val="20"/>
          <w:lang w:eastAsia="zh-CN"/>
        </w:rPr>
        <w:t>.</w:t>
      </w:r>
    </w:p>
    <w:p w:rsidR="00C65713" w:rsidRPr="00C65713" w:rsidRDefault="00AC1E56" w:rsidP="00C65713">
      <w:pPr>
        <w:rPr>
          <w:rFonts w:eastAsia="宋体"/>
          <w:sz w:val="20"/>
          <w:lang w:eastAsia="zh-CN"/>
        </w:rPr>
      </w:pPr>
      <w:r>
        <w:rPr>
          <w:rFonts w:eastAsia="宋体" w:hint="eastAsia"/>
          <w:sz w:val="20"/>
          <w:lang w:val="en-US" w:eastAsia="zh-CN"/>
        </w:rPr>
        <w:t xml:space="preserve">[2] </w:t>
      </w:r>
      <w:r w:rsidR="00752FC5">
        <w:rPr>
          <w:rFonts w:eastAsia="宋体"/>
          <w:sz w:val="20"/>
          <w:lang w:val="en-US" w:eastAsia="zh-CN"/>
        </w:rPr>
        <w:t xml:space="preserve">TS 38.101-3, </w:t>
      </w:r>
      <w:r w:rsidR="00C65713">
        <w:rPr>
          <w:rFonts w:eastAsia="宋体"/>
          <w:sz w:val="20"/>
          <w:lang w:val="en-US" w:eastAsia="zh-CN"/>
        </w:rPr>
        <w:t xml:space="preserve">NR </w:t>
      </w:r>
      <w:r w:rsidR="00C65713" w:rsidRPr="00C65713">
        <w:rPr>
          <w:rFonts w:eastAsia="宋体"/>
          <w:sz w:val="20"/>
          <w:lang w:eastAsia="zh-CN"/>
        </w:rPr>
        <w:t>User Equipment (UE) radio transmission and reception;</w:t>
      </w:r>
      <w:r w:rsidR="00C65713">
        <w:rPr>
          <w:rFonts w:eastAsia="宋体"/>
          <w:sz w:val="20"/>
          <w:lang w:eastAsia="zh-CN"/>
        </w:rPr>
        <w:t xml:space="preserve"> </w:t>
      </w:r>
      <w:r w:rsidR="00C65713" w:rsidRPr="00C65713">
        <w:rPr>
          <w:rFonts w:eastAsia="宋体"/>
          <w:sz w:val="20"/>
          <w:lang w:eastAsia="zh-CN"/>
        </w:rPr>
        <w:t>Part 3: Range 1 and Range 2 Interworking operation with other radios</w:t>
      </w:r>
      <w:r w:rsidR="00C65713">
        <w:rPr>
          <w:rFonts w:eastAsia="宋体"/>
          <w:sz w:val="20"/>
          <w:lang w:eastAsia="zh-CN"/>
        </w:rPr>
        <w:t>.</w:t>
      </w:r>
    </w:p>
    <w:bookmarkEnd w:id="2"/>
    <w:p w:rsidR="00F0727B" w:rsidRPr="00F0727B" w:rsidRDefault="00F0727B" w:rsidP="00F0727B">
      <w:pPr>
        <w:rPr>
          <w:rFonts w:eastAsiaTheme="minorEastAsia"/>
          <w:lang w:val="en-US" w:eastAsia="zh-CN"/>
        </w:rPr>
      </w:pPr>
    </w:p>
    <w:sectPr w:rsidR="00F0727B" w:rsidRPr="00F0727B">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4"/>
      <w:lvlText w:val="%1."/>
      <w:lvlJc w:val="left"/>
      <w:pPr>
        <w:tabs>
          <w:tab w:val="left" w:pos="1620"/>
        </w:tabs>
        <w:ind w:left="1620" w:hanging="360"/>
      </w:pPr>
    </w:lvl>
  </w:abstractNum>
  <w:abstractNum w:abstractNumId="3">
    <w:nsid w:val="FFFFFF7E"/>
    <w:multiLevelType w:val="singleLevel"/>
    <w:tmpl w:val="FFFFFF7E"/>
    <w:lvl w:ilvl="0">
      <w:start w:val="1"/>
      <w:numFmt w:val="decimal"/>
      <w:pStyle w:val="3"/>
      <w:lvlText w:val="%1."/>
      <w:lvlJc w:val="left"/>
      <w:pPr>
        <w:tabs>
          <w:tab w:val="left" w:pos="1200"/>
        </w:tabs>
        <w:ind w:left="1200" w:hanging="360"/>
      </w:pPr>
    </w:lvl>
  </w:abstractNum>
  <w:abstractNum w:abstractNumId="4">
    <w:nsid w:val="FFFFFFFE"/>
    <w:multiLevelType w:val="singleLevel"/>
    <w:tmpl w:val="FFFFFFFF"/>
    <w:lvl w:ilvl="0">
      <w:numFmt w:val="decimal"/>
      <w:lvlText w:val="*"/>
      <w:lvlJc w:val="left"/>
    </w:lvl>
  </w:abstractNum>
  <w:abstractNum w:abstractNumId="5">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A545B4F"/>
    <w:multiLevelType w:val="multilevel"/>
    <w:tmpl w:val="3A545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7"/>
  </w:num>
  <w:num w:numId="3">
    <w:abstractNumId w:val="3"/>
  </w:num>
  <w:num w:numId="4">
    <w:abstractNumId w:val="2"/>
  </w:num>
  <w:num w:numId="5">
    <w:abstractNumId w:val="1"/>
  </w:num>
  <w:num w:numId="6">
    <w:abstractNumId w:val="14"/>
  </w:num>
  <w:num w:numId="7">
    <w:abstractNumId w:val="20"/>
  </w:num>
  <w:num w:numId="8">
    <w:abstractNumId w:val="22"/>
  </w:num>
  <w:num w:numId="9">
    <w:abstractNumId w:val="12"/>
  </w:num>
  <w:num w:numId="10">
    <w:abstractNumId w:val="13"/>
  </w:num>
  <w:num w:numId="11">
    <w:abstractNumId w:val="8"/>
  </w:num>
  <w:num w:numId="12">
    <w:abstractNumId w:val="21"/>
  </w:num>
  <w:num w:numId="13">
    <w:abstractNumId w:val="0"/>
  </w:num>
  <w:num w:numId="14">
    <w:abstractNumId w:val="5"/>
  </w:num>
  <w:num w:numId="15">
    <w:abstractNumId w:val="19"/>
  </w:num>
  <w:num w:numId="16">
    <w:abstractNumId w:val="17"/>
  </w:num>
  <w:num w:numId="17">
    <w:abstractNumId w:val="17"/>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6"/>
  </w:num>
  <w:num w:numId="21">
    <w:abstractNumId w:val="9"/>
  </w:num>
  <w:num w:numId="22">
    <w:abstractNumId w:val="6"/>
  </w:num>
  <w:num w:numId="23">
    <w:abstractNumId w:val="18"/>
  </w:num>
  <w:num w:numId="24">
    <w:abstractNumId w:val="15"/>
  </w:num>
  <w:num w:numId="25">
    <w:abstractNumId w:val="17"/>
  </w:num>
  <w:num w:numId="26">
    <w:abstractNumId w:val="17"/>
  </w:num>
  <w:num w:numId="27">
    <w:abstractNumId w:val="1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6765F"/>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8C2"/>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3CC"/>
    <w:rsid w:val="0025745D"/>
    <w:rsid w:val="002575D5"/>
    <w:rsid w:val="00257AB6"/>
    <w:rsid w:val="00257AD3"/>
    <w:rsid w:val="00257D3D"/>
    <w:rsid w:val="00257DFF"/>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7AD"/>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489"/>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2C7"/>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5ECB"/>
    <w:rsid w:val="003C61B6"/>
    <w:rsid w:val="003C6D51"/>
    <w:rsid w:val="003C75BB"/>
    <w:rsid w:val="003C7769"/>
    <w:rsid w:val="003C7B6B"/>
    <w:rsid w:val="003C7C0B"/>
    <w:rsid w:val="003D090A"/>
    <w:rsid w:val="003D0A33"/>
    <w:rsid w:val="003D0CD2"/>
    <w:rsid w:val="003D0D8B"/>
    <w:rsid w:val="003D0E96"/>
    <w:rsid w:val="003D0F0F"/>
    <w:rsid w:val="003D101F"/>
    <w:rsid w:val="003D1600"/>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E9F"/>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B11"/>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931"/>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34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2FC5"/>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565"/>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591E"/>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6AC9"/>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567"/>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2B4C"/>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212"/>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2E9"/>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713"/>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3DA1"/>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B0F"/>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4DFD"/>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styleId="afff1">
    <w:name w:val="Placeholder Text"/>
    <w:basedOn w:val="a0"/>
    <w:uiPriority w:val="99"/>
    <w:semiHidden/>
    <w:rsid w:val="00976CE8"/>
    <w:rPr>
      <w:color w:val="808080"/>
    </w:rPr>
  </w:style>
  <w:style w:type="character" w:customStyle="1" w:styleId="Char3">
    <w:name w:val="列出段落 Char"/>
    <w:link w:val="affe"/>
    <w:uiPriority w:val="34"/>
    <w:qFormat/>
    <w:locked/>
    <w:rsid w:val="00F728FD"/>
    <w:rPr>
      <w:rFonts w:ascii="宋体" w:hAnsi="宋体" w:cs="宋体"/>
      <w:sz w:val="24"/>
      <w:szCs w:val="24"/>
    </w:rPr>
  </w:style>
  <w:style w:type="character" w:customStyle="1" w:styleId="viiyi">
    <w:name w:val="viiyi"/>
    <w:basedOn w:val="a0"/>
    <w:rsid w:val="00126C58"/>
  </w:style>
  <w:style w:type="character" w:customStyle="1" w:styleId="jlqj4b">
    <w:name w:val="jlqj4b"/>
    <w:basedOn w:val="a0"/>
    <w:rsid w:val="00126C58"/>
  </w:style>
  <w:style w:type="paragraph" w:customStyle="1" w:styleId="1c">
    <w:name w:val="正文1"/>
    <w:rsid w:val="00C65713"/>
    <w:pPr>
      <w:jc w:val="both"/>
    </w:pPr>
    <w:rPr>
      <w:rFonts w:ascii="CG Times (WN)" w:hAnsi="CG Times (WN)"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2566276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3551</TotalTime>
  <Pages>5</Pages>
  <Words>648</Words>
  <Characters>3699</Characters>
  <Application>Microsoft Office Word</Application>
  <DocSecurity>0</DocSecurity>
  <Lines>30</Lines>
  <Paragraphs>8</Paragraphs>
  <ScaleCrop>false</ScaleCrop>
  <Company>ZTE</Company>
  <LinksUpToDate>false</LinksUpToDate>
  <CharactersWithSpaces>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155</cp:revision>
  <cp:lastPrinted>2019-05-07T07:50:00Z</cp:lastPrinted>
  <dcterms:created xsi:type="dcterms:W3CDTF">2021-10-16T15:17:00Z</dcterms:created>
  <dcterms:modified xsi:type="dcterms:W3CDTF">2022-08-10T15:04:00Z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